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81ED" w14:textId="77777777" w:rsidR="00A3352B" w:rsidRPr="001C653C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Scopul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funcţiei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publice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vacante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, conform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fişei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postului</w:t>
      </w:r>
      <w:proofErr w:type="spellEnd"/>
    </w:p>
    <w:p w14:paraId="6F5D1013" w14:textId="4B6840DB" w:rsidR="00A3352B" w:rsidRPr="001C653C" w:rsidRDefault="009130E5" w:rsidP="009130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ab/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Organizarea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procesului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reglementare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regimului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proprietăţii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teritoriu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scopul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realizării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programului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reformare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relaţiilor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reglementate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Constituţia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Republicii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Moldova,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Codul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CUC,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acte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legislative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normative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domeniu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</w:r>
    </w:p>
    <w:p w14:paraId="603EA4D5" w14:textId="77777777" w:rsidR="00A3352B" w:rsidRPr="001C653C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Salariul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funcție</w:t>
      </w:r>
      <w:proofErr w:type="spellEnd"/>
    </w:p>
    <w:p w14:paraId="5E466A00" w14:textId="5E9DD2D6" w:rsidR="00A3352B" w:rsidRPr="001C653C" w:rsidRDefault="00A3352B" w:rsidP="00A33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u w:val="single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u w:val="single"/>
          <w:lang w:val="en-US" w:eastAsia="ru-RU"/>
          <w14:ligatures w14:val="none"/>
        </w:rPr>
        <w:t xml:space="preserve">De la </w:t>
      </w:r>
      <w:r w:rsidR="009130E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u w:val="single"/>
          <w:lang w:val="en-US" w:eastAsia="ru-RU"/>
          <w14:ligatures w14:val="none"/>
        </w:rPr>
        <w:t>7240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u w:val="single"/>
          <w:lang w:val="en-US" w:eastAsia="ru-RU"/>
          <w14:ligatures w14:val="none"/>
        </w:rPr>
        <w:t xml:space="preserve"> Lei (brut)</w:t>
      </w:r>
    </w:p>
    <w:p w14:paraId="236BF990" w14:textId="77777777" w:rsidR="00110054" w:rsidRDefault="00110054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</w:p>
    <w:p w14:paraId="4E5D6E0C" w14:textId="16284F04" w:rsidR="00A3352B" w:rsidRPr="001C653C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Sarcinile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bază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ale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funcţiei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publice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vacante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, conform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fişei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postului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:</w:t>
      </w:r>
    </w:p>
    <w:p w14:paraId="22025E87" w14:textId="798CEF11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perfectarea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calitativă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termen,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înregistrarea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contractelor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arendă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proprietate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conform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deciziilor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consiliului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6F53BC7C" w14:textId="77777777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ţine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evidenţa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contractelor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arendă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vînzare-cumpărare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registre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speciale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; </w:t>
      </w:r>
    </w:p>
    <w:p w14:paraId="22D3B609" w14:textId="77777777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întocmeşte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listele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cetăţenilor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deţinători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(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impozitare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); </w:t>
      </w:r>
    </w:p>
    <w:p w14:paraId="69063C80" w14:textId="2EBC5364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perfectarea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înregistrarea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eliberarea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modul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stabilit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documentelor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juridice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posesorilor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; </w:t>
      </w:r>
    </w:p>
    <w:p w14:paraId="0F091225" w14:textId="77777777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studiază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sistematic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fondul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administrat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evidenţierea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rezervelor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valorificarea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noi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ţine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evidenţa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modificărilor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curente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ale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suprafeţelor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toate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categoriile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Registrul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Cadastral; </w:t>
      </w:r>
    </w:p>
    <w:p w14:paraId="174AB011" w14:textId="77777777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întocmeşte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anual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bilanţul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baza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materialelor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plan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cartografice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relaţii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cadastru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modul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stabilit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; </w:t>
      </w:r>
    </w:p>
    <w:p w14:paraId="3C85BE66" w14:textId="77777777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sistematizează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păstrează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materialele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plan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cartografice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cercetare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740AA3E4" w14:textId="09D7F2AE" w:rsidR="009130E5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verifică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respectarea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Codului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legislaţiei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către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toţi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deţinătorii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; </w:t>
      </w:r>
    </w:p>
    <w:p w14:paraId="71539959" w14:textId="27514682" w:rsidR="00A3352B" w:rsidRPr="001C653C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organizează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identificarea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tuturor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.</w:t>
      </w:r>
      <w:proofErr w:type="gramEnd"/>
    </w:p>
    <w:p w14:paraId="2F2EE71D" w14:textId="77777777" w:rsidR="00A3352B" w:rsidRPr="001C653C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examinarea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scrisorilor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plângerilor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cererilor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cetățenilor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 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proofErr w:type="gram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problemele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analiza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propunerilor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interpelărilor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legate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reforma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folosirea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reglementarea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regimului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proprietății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protecția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pământurilor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35652013" w14:textId="77777777" w:rsidR="00A3352B" w:rsidRPr="001C653C" w:rsidRDefault="00A3352B" w:rsidP="0011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elaborarea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proiectelor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propuneri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reglementarea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relațiilor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atribuirea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retragerea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soluționarea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litigiilor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atribuirea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necesități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038C38E5" w14:textId="066892F6" w:rsidR="00A3352B" w:rsidRPr="001C653C" w:rsidRDefault="00A3352B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crearea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unui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fond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documente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normative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metodice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specialiștii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reglementarea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regimului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din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aparatul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Primăriilor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organizarea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ajutorului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metodic</w:t>
      </w:r>
      <w:proofErr w:type="spellEnd"/>
      <w:r w:rsidR="0034692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> </w:t>
      </w:r>
    </w:p>
    <w:p w14:paraId="356F6150" w14:textId="77777777" w:rsidR="00A3352B" w:rsidRPr="001C653C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Tip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angajare</w:t>
      </w:r>
      <w:proofErr w:type="spellEnd"/>
    </w:p>
    <w:p w14:paraId="0CF515C7" w14:textId="77777777" w:rsidR="00A3352B" w:rsidRPr="001C653C" w:rsidRDefault="00A3352B" w:rsidP="00A33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Perioadă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nedeterminată</w:t>
      </w:r>
      <w:proofErr w:type="spellEnd"/>
    </w:p>
    <w:p w14:paraId="54D0052B" w14:textId="77777777" w:rsidR="00110054" w:rsidRDefault="00110054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</w:p>
    <w:p w14:paraId="3151335C" w14:textId="30DACBFA" w:rsidR="00A3352B" w:rsidRPr="001C653C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lastRenderedPageBreak/>
        <w:t>Condiţiile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participare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la concurs</w:t>
      </w:r>
    </w:p>
    <w:p w14:paraId="132C0F84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deține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cetățenia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Republicii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Moldova;</w:t>
      </w:r>
    </w:p>
    <w:p w14:paraId="1C5BEC2F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posedă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limba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română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limbile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oficiale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comunicare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interetnică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vorbite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teritoriul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respectiv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limitele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stabilite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0D808784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are capacitate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deplină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exercițiu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16DB8E86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nu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împlinit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vârsta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63 de ani;</w:t>
      </w:r>
    </w:p>
    <w:p w14:paraId="7FF76DA9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este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aptă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din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punct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vedere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al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stării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sănătății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exercitarea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funcției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conform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certificatului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medical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eliberat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instituția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medicală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abilitată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dacă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respectivă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sânt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stabilite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cerințe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speciale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sănătate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5236FB6F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are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studiile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necesare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prevăzute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respectivă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2258A1B9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ultimii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5 ani nu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fost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destituită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dintr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-o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funcție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conform art. 64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alin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. (1) lit. a)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b)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încetat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contractul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individual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muncă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motive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disciplinare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3D410C3A" w14:textId="77777777" w:rsidR="00A3352B" w:rsidRPr="001C653C" w:rsidRDefault="00A3352B" w:rsidP="00A33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nu </w:t>
      </w:r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are</w:t>
      </w:r>
      <w:proofErr w:type="gram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antecedente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nestinse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infracțiuni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săvârșite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intenție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037ED4A1" w14:textId="77777777" w:rsidR="00A3352B" w:rsidRPr="001C653C" w:rsidRDefault="00A3352B" w:rsidP="00A335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nu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este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privată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dreptul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</w:t>
      </w:r>
      <w:proofErr w:type="gram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ocupa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anumite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funcții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exercita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o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anumită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activitate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ca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pedeapsă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bază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complementară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ca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urmare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sentinței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judecătorești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definitive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care s-a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dispus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această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interdicție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33AFE9DF" w14:textId="77777777" w:rsidR="00A3352B" w:rsidRPr="001C653C" w:rsidRDefault="00A3352B" w:rsidP="00A335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nu </w:t>
      </w:r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are</w:t>
      </w:r>
      <w:proofErr w:type="gram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interdicția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ocupa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o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funcție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demnitate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derivă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dintr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-un act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constatare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al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Autorității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Naționale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Integritate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</w:p>
    <w:p w14:paraId="7EABF17D" w14:textId="77777777" w:rsidR="00A3352B" w:rsidRPr="001C653C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Cerinţe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specifice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participare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la concurs</w:t>
      </w:r>
    </w:p>
    <w:p w14:paraId="3E6C6ABB" w14:textId="25D38B1C" w:rsidR="00346925" w:rsidRDefault="00346925" w:rsidP="00346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</w:t>
      </w:r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tudii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superioare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licență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echivalente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relații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cadastru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cel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puțin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3 an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experiență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profesională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domeniu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studii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medii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specialitate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cunoştinţe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utilizare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lculatorului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(Microsoft Word, Excel, Internet,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E-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Cadastru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alte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programe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); </w:t>
      </w:r>
    </w:p>
    <w:p w14:paraId="2C34297A" w14:textId="3F8C7DF9" w:rsidR="00346925" w:rsidRDefault="00346925" w:rsidP="00346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Cunoașterea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legislației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domeniu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5EDECD26" w14:textId="0BC99A45" w:rsidR="00346925" w:rsidRDefault="00346925" w:rsidP="00346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Cunoașterea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modului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funcţionare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unei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autorități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1FE2D312" w14:textId="502FF041" w:rsidR="00346925" w:rsidRDefault="00346925" w:rsidP="00346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Cunoașterea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politicilor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procedurilor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reglementare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regimului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cadastru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practicilor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pozitive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aplicate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domeniu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;</w:t>
      </w:r>
    </w:p>
    <w:p w14:paraId="255C54AE" w14:textId="6269F933" w:rsidR="00A3352B" w:rsidRPr="001C653C" w:rsidRDefault="00346925" w:rsidP="00346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Organizare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analiză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sinteză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elaborare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documente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consultare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instruire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prezentare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comunicare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eficientă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soluţionare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 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probleme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lucru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echipă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spirit de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inițativă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disciplină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muncă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lucru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informația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capacitatea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a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comunica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verbal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scris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expună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clar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concis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informațiile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</w:p>
    <w:p w14:paraId="62294BE2" w14:textId="77777777" w:rsidR="00A3352B" w:rsidRPr="001C653C" w:rsidRDefault="00A3352B" w:rsidP="0034692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Documente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urmează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a fi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prezentate</w:t>
      </w:r>
      <w:proofErr w:type="spellEnd"/>
    </w:p>
    <w:p w14:paraId="6551118A" w14:textId="1629820D" w:rsidR="00A3352B" w:rsidRPr="00346925" w:rsidRDefault="00000000" w:rsidP="00A335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hyperlink r:id="rId5" w:history="1">
        <w:proofErr w:type="spellStart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Formularul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de </w:t>
        </w:r>
        <w:proofErr w:type="spellStart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participare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la </w:t>
        </w:r>
        <w:proofErr w:type="spellStart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concursul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</w:t>
        </w:r>
        <w:proofErr w:type="spellStart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pentru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</w:t>
        </w:r>
        <w:proofErr w:type="spellStart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ocuparea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</w:t>
        </w:r>
        <w:proofErr w:type="spellStart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funcției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</w:t>
        </w:r>
        <w:proofErr w:type="spellStart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publice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(</w:t>
        </w:r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se </w:t>
        </w:r>
        <w:proofErr w:type="spellStart"/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va</w:t>
        </w:r>
        <w:proofErr w:type="spellEnd"/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</w:t>
        </w:r>
        <w:proofErr w:type="spellStart"/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completa</w:t>
        </w:r>
        <w:proofErr w:type="spellEnd"/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la </w:t>
        </w:r>
        <w:proofErr w:type="spellStart"/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depunerea</w:t>
        </w:r>
        <w:proofErr w:type="spellEnd"/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 xml:space="preserve"> </w:t>
        </w:r>
        <w:proofErr w:type="spellStart"/>
        <w:r w:rsidR="00346925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dosarului</w:t>
        </w:r>
        <w:proofErr w:type="spellEnd"/>
        <w:r w:rsidR="00A3352B" w:rsidRPr="0034692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)</w:t>
        </w:r>
      </w:hyperlink>
      <w:r w:rsidR="00A3352B" w:rsidRPr="00346925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br/>
      </w:r>
    </w:p>
    <w:p w14:paraId="721ABF4F" w14:textId="260ED107" w:rsidR="00A3352B" w:rsidRPr="001C653C" w:rsidRDefault="00A3352B" w:rsidP="003469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Copia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buletinului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identitate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Copiile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documentelor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prezentate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pot fi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autentificate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notar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se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prezintă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împreună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documentele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originale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verifica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veridicitatea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lor.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34692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situația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care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dosarul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concurs se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depune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poștă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e-mail,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această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prevedere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se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aplică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data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desfășurării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probei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scrise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concursului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sub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sancțiunea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respingerii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dosarului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concurs.</w:t>
      </w:r>
    </w:p>
    <w:p w14:paraId="072A3449" w14:textId="77777777" w:rsidR="00A3352B" w:rsidRPr="001C653C" w:rsidRDefault="00A3352B" w:rsidP="00A335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Copiile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diplomelor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studii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după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caz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, ale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certificatelor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absolvire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cursurilor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perfecționare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profesională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/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specializare</w:t>
      </w:r>
      <w:proofErr w:type="spellEnd"/>
    </w:p>
    <w:p w14:paraId="79248E49" w14:textId="77777777" w:rsidR="00A3352B" w:rsidRPr="001C653C" w:rsidRDefault="00A3352B" w:rsidP="00A335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Documente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atestă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experiența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profesională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Declarația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pe propria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răspundere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Copia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carnetului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muncă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certificate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actvitatea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profesională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desfășurată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după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data de 1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ianuarie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2019 pot fi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înlocuite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declarația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pe propria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răspundere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.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acest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caz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candidatul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are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obligația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completeze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dosarul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concurs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originalul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documentului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termen de maximum 10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zile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la data la care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fost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declarat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învingător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sub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sancțiunea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neemiterii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administrativ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numire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</w:p>
    <w:p w14:paraId="0A738873" w14:textId="77777777" w:rsidR="00A3352B" w:rsidRPr="001C653C" w:rsidRDefault="00A3352B" w:rsidP="00A335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Cazierul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judiciar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sau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Declarația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pe propria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răspundere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Cazierul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judiciar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poate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fi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înlocuit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declarația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pe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proprie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răspundere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.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acest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caz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candidatul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are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obligația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completeze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dosarul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concurs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originalul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documentului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termen maximum 10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zile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calendaristice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la data la care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fost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declarat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învingător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, sub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sancțiunea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neemiterii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administrativ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numire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</w:p>
    <w:p w14:paraId="0D46560F" w14:textId="77777777" w:rsidR="00A3352B" w:rsidRPr="001C653C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Modalitatea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de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depunere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documentelor</w:t>
      </w:r>
      <w:proofErr w:type="spellEnd"/>
    </w:p>
    <w:p w14:paraId="5E602C5A" w14:textId="77777777" w:rsidR="00A3352B" w:rsidRPr="001C653C" w:rsidRDefault="00A3352B" w:rsidP="00A335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E-mail</w:t>
      </w:r>
    </w:p>
    <w:p w14:paraId="4E85B4A0" w14:textId="77777777" w:rsidR="00A3352B" w:rsidRPr="001C653C" w:rsidRDefault="00A3352B" w:rsidP="00A335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Personal</w:t>
      </w:r>
    </w:p>
    <w:p w14:paraId="7A6F3BDB" w14:textId="02D72594" w:rsidR="00A3352B" w:rsidRPr="00110054" w:rsidRDefault="00A3352B" w:rsidP="00A3352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ro-RO" w:eastAsia="ru-RU"/>
          <w14:ligatures w14:val="none"/>
        </w:rPr>
      </w:pPr>
      <w:proofErr w:type="spellStart"/>
      <w:r w:rsidRPr="00110054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Bibliografia</w:t>
      </w:r>
      <w:proofErr w:type="spellEnd"/>
      <w:r w:rsidRPr="00110054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10054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concursului</w:t>
      </w:r>
      <w:proofErr w:type="spellEnd"/>
      <w:r w:rsid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: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Constituţia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Republicii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Moldova</w:t>
      </w:r>
    </w:p>
    <w:p w14:paraId="185849AE" w14:textId="093B6CEB" w:rsidR="00A3352B" w:rsidRPr="00110054" w:rsidRDefault="00AE6F44" w:rsidP="00110054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>Lista a</w:t>
      </w:r>
      <w:r w:rsid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>ctel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>or</w:t>
      </w:r>
      <w:r w:rsid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 xml:space="preserve"> legislative</w:t>
      </w:r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 xml:space="preserve"> necesar</w:t>
      </w:r>
      <w:r w:rsid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>e</w:t>
      </w:r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 xml:space="preserve"> </w:t>
      </w:r>
      <w:bookmarkStart w:id="0" w:name="_Hlk204939379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 xml:space="preserve">pentru familiarizare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domeniul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serviciului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public</w:t>
      </w:r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bookmarkEnd w:id="0"/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domeniul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specialitate</w:t>
      </w:r>
      <w:proofErr w:type="spellEnd"/>
      <w:r w:rsid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</w:t>
      </w:r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cadidații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care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depun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dosarele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le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vor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primi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depunerea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actelor</w:t>
      </w:r>
      <w:proofErr w:type="spellEnd"/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</w:p>
    <w:p w14:paraId="01266D87" w14:textId="77777777" w:rsidR="00110054" w:rsidRPr="00110054" w:rsidRDefault="00110054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ro-RO" w:eastAsia="ru-RU"/>
          <w14:ligatures w14:val="none"/>
        </w:rPr>
      </w:pPr>
    </w:p>
    <w:p w14:paraId="6EF0AEF1" w14:textId="77777777" w:rsidR="00110054" w:rsidRDefault="00110054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</w:pPr>
    </w:p>
    <w:p w14:paraId="5EDB7D0A" w14:textId="77777777" w:rsidR="00110054" w:rsidRDefault="00110054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</w:pPr>
    </w:p>
    <w:p w14:paraId="5CC40C09" w14:textId="77777777" w:rsidR="00110054" w:rsidRDefault="00110054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</w:pPr>
    </w:p>
    <w:p w14:paraId="10D18E07" w14:textId="77777777" w:rsidR="00110054" w:rsidRDefault="00110054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</w:pPr>
    </w:p>
    <w:p w14:paraId="56E2045D" w14:textId="77777777" w:rsidR="00110054" w:rsidRDefault="00110054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</w:pPr>
    </w:p>
    <w:p w14:paraId="0E0F5B46" w14:textId="52425C76" w:rsidR="00A3352B" w:rsidRPr="001C653C" w:rsidRDefault="00A3352B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>Acte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 xml:space="preserve"> normative</w:t>
      </w:r>
      <w:r w:rsidR="00110054" w:rsidRPr="0011005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ro-RO" w:eastAsia="ru-RU"/>
          <w14:ligatures w14:val="none"/>
        </w:rPr>
        <w:t xml:space="preserve"> </w:t>
      </w:r>
      <w:r w:rsidR="00110054" w:rsidRPr="00110054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ro-RO" w:eastAsia="ru-RU"/>
          <w14:ligatures w14:val="none"/>
        </w:rPr>
        <w:t xml:space="preserve">pentru familiarizare </w:t>
      </w:r>
      <w:proofErr w:type="spellStart"/>
      <w:r w:rsidR="00110054" w:rsidRPr="00110054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="00110054" w:rsidRPr="00110054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>domeniul</w:t>
      </w:r>
      <w:proofErr w:type="spellEnd"/>
      <w:r w:rsidR="00110054" w:rsidRPr="00110054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110054" w:rsidRPr="00110054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>serviciului</w:t>
      </w:r>
      <w:proofErr w:type="spellEnd"/>
      <w:r w:rsidR="00110054" w:rsidRPr="00110054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 xml:space="preserve"> public</w:t>
      </w:r>
      <w:r w:rsidRPr="001C653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en-US" w:eastAsia="ru-RU"/>
          <w14:ligatures w14:val="none"/>
        </w:rPr>
        <w:t>:</w:t>
      </w:r>
    </w:p>
    <w:p w14:paraId="47F2B3D4" w14:textId="77777777" w:rsid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 158/</w:t>
      </w:r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2008  cu</w:t>
      </w:r>
      <w:proofErr w:type="gram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funcţia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statutul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funcţionarului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public;</w:t>
      </w:r>
    </w:p>
    <w:p w14:paraId="538C68B8" w14:textId="180E6ECB" w:rsid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nr.436 /</w:t>
      </w:r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2006 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proofErr w:type="gram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administraţia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locală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nr.25/2008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Codul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conduită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funcţionarului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public;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 133/2016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declararea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averii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gram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</w:t>
      </w:r>
      <w:proofErr w:type="gram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intereselor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personale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integrității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 82 /2017.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Hotărîrea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Gevernului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 767 /2014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pentru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implementarea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 325 /2013 </w:t>
      </w:r>
      <w:r w:rsid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testarea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integrității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profesionale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.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</w:r>
    </w:p>
    <w:p w14:paraId="2C3DF352" w14:textId="44E9AC86" w:rsidR="00A3352B" w:rsidRPr="001C653C" w:rsidRDefault="00A3352B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Acte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normative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în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domeniul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specialitate</w:t>
      </w:r>
      <w:proofErr w:type="spellEnd"/>
      <w:r w:rsidRPr="001C65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ru-RU"/>
          <w14:ligatures w14:val="none"/>
        </w:rPr>
        <w:t>:</w:t>
      </w:r>
    </w:p>
    <w:p w14:paraId="5FAC6049" w14:textId="7AC34137" w:rsidR="00A3352B" w:rsidRPr="001C653C" w:rsidRDefault="001C653C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Codul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urbanismului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și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construcțiilor</w:t>
      </w:r>
      <w:proofErr w:type="spellEnd"/>
      <w:r w:rsidR="00A3352B"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nr.434/2023</w:t>
      </w:r>
    </w:p>
    <w:p w14:paraId="72F6C601" w14:textId="77777777" w:rsidR="00A3352B" w:rsidRP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Codul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procedură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civilă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Republicii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Moldova nr.225/2003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Codul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muncii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al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Republicii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Moldova nr.154/2003</w:t>
      </w: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Codul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funciar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al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Republicii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Moldova nr.22/2024</w:t>
      </w:r>
    </w:p>
    <w:p w14:paraId="00170D60" w14:textId="77777777" w:rsidR="00A3352B" w:rsidRPr="001C653C" w:rsidRDefault="00A3352B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 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cadastrului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bunurilor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imobile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 nr. 1543/1998</w:t>
      </w:r>
    </w:p>
    <w:p w14:paraId="0F68DCD7" w14:textId="77777777" w:rsidR="00A3352B" w:rsidRP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formarea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bunurilor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imobile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, nr. 354/ 2004</w:t>
      </w:r>
    </w:p>
    <w:p w14:paraId="44ECEA17" w14:textId="77777777" w:rsidR="00A3352B" w:rsidRP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registre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nr.1320/ 1997</w:t>
      </w:r>
    </w:p>
    <w:p w14:paraId="4FDD4E83" w14:textId="77777777" w:rsidR="00A3352B" w:rsidRP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privatizării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fondului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de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locuinţe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 1324/1993</w:t>
      </w:r>
    </w:p>
    <w:p w14:paraId="7819DD44" w14:textId="77777777" w:rsidR="00A3352B" w:rsidRP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nr.435 /2006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descentralizarea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administrativă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Legea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nr.121/ 2007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administrarea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deetatizarea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proprietăţii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publice</w:t>
      </w:r>
      <w:proofErr w:type="spellEnd"/>
    </w:p>
    <w:p w14:paraId="134A6634" w14:textId="77777777" w:rsidR="00A3352B" w:rsidRPr="001C653C" w:rsidRDefault="00A3352B" w:rsidP="001C6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Hotărârea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Guvernului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 1075/2007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aprobarea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Regulamentului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consolidarea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terenurilor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agricole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br/>
        <w:t xml:space="preserve">-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Hotărîrea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Guvernului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nr.136 / 2009 „Cu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la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aprobarea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Regulamentului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privind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licitaţiile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strigare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şi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 xml:space="preserve"> cu </w:t>
      </w:r>
      <w:proofErr w:type="spellStart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reducere</w:t>
      </w:r>
      <w:proofErr w:type="spellEnd"/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” </w:t>
      </w:r>
    </w:p>
    <w:p w14:paraId="283F8CF8" w14:textId="77777777" w:rsidR="00A3352B" w:rsidRPr="001C653C" w:rsidRDefault="00A3352B" w:rsidP="00A335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1C65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  <w:t> </w:t>
      </w:r>
    </w:p>
    <w:p w14:paraId="06ECC4FE" w14:textId="1637E9B8" w:rsidR="0009086F" w:rsidRPr="001C653C" w:rsidRDefault="001C65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09086F" w:rsidRPr="001C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204"/>
    <w:multiLevelType w:val="hybridMultilevel"/>
    <w:tmpl w:val="CE5C35E0"/>
    <w:lvl w:ilvl="0" w:tplc="0AE666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E1377"/>
    <w:multiLevelType w:val="multilevel"/>
    <w:tmpl w:val="E576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494A55"/>
    <w:multiLevelType w:val="multilevel"/>
    <w:tmpl w:val="AED0E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50013"/>
    <w:multiLevelType w:val="multilevel"/>
    <w:tmpl w:val="063E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974622">
    <w:abstractNumId w:val="2"/>
  </w:num>
  <w:num w:numId="2" w16cid:durableId="639193881">
    <w:abstractNumId w:val="2"/>
    <w:lvlOverride w:ilvl="0">
      <w:startOverride w:val="1"/>
    </w:lvlOverride>
  </w:num>
  <w:num w:numId="3" w16cid:durableId="484396499">
    <w:abstractNumId w:val="2"/>
    <w:lvlOverride w:ilvl="0">
      <w:startOverride w:val="10"/>
    </w:lvlOverride>
  </w:num>
  <w:num w:numId="4" w16cid:durableId="455562043">
    <w:abstractNumId w:val="1"/>
  </w:num>
  <w:num w:numId="5" w16cid:durableId="955526686">
    <w:abstractNumId w:val="3"/>
  </w:num>
  <w:num w:numId="6" w16cid:durableId="129120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B2"/>
    <w:rsid w:val="0009086F"/>
    <w:rsid w:val="00110054"/>
    <w:rsid w:val="00147333"/>
    <w:rsid w:val="001C653C"/>
    <w:rsid w:val="003378DE"/>
    <w:rsid w:val="00346925"/>
    <w:rsid w:val="004D00B2"/>
    <w:rsid w:val="009130E5"/>
    <w:rsid w:val="009D7B4D"/>
    <w:rsid w:val="00A3352B"/>
    <w:rsid w:val="00AE6F44"/>
    <w:rsid w:val="00E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5F4"/>
  <w15:chartTrackingRefBased/>
  <w15:docId w15:val="{9833BC4B-E48D-41A0-99B4-4815B770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0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0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0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0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0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0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0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iere.gov.md/ckfinder/files/Formular_de_participare_cariere_gov_md_no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2025-07-31T10:39:00Z</dcterms:created>
  <dcterms:modified xsi:type="dcterms:W3CDTF">2025-08-01T08:25:00Z</dcterms:modified>
</cp:coreProperties>
</file>